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B1D8B" w14:textId="6DDE75B3" w:rsidR="007F2F4A" w:rsidRPr="00A86BA1" w:rsidRDefault="00C809DE" w:rsidP="007F2F4A">
      <w:pPr>
        <w:pStyle w:val="NormalWeb"/>
        <w:rPr>
          <w:rFonts w:ascii="Calibri" w:hAnsi="Calibri"/>
          <w:b/>
          <w:bCs/>
          <w:sz w:val="28"/>
          <w:szCs w:val="28"/>
        </w:rPr>
      </w:pPr>
      <w:r w:rsidRPr="00A86BA1">
        <w:rPr>
          <w:rFonts w:asciiTheme="minorHAnsi" w:hAnsiTheme="minorHAnsi"/>
          <w:b/>
          <w:bCs/>
          <w:noProof/>
          <w:sz w:val="28"/>
          <w:szCs w:val="28"/>
        </w:rPr>
        <w:t>Yamas &amp; Niyamas</w:t>
      </w:r>
      <w:r w:rsidR="007F2F4A" w:rsidRPr="00A86BA1">
        <w:rPr>
          <w:rFonts w:ascii="Calibri" w:hAnsi="Calibri"/>
          <w:b/>
          <w:bCs/>
          <w:sz w:val="28"/>
          <w:szCs w:val="28"/>
        </w:rPr>
        <w:t xml:space="preserve"> </w:t>
      </w:r>
      <w:r w:rsidR="00E80EED" w:rsidRPr="00A86BA1">
        <w:rPr>
          <w:rFonts w:ascii="Calibri" w:hAnsi="Calibri"/>
          <w:b/>
          <w:bCs/>
          <w:sz w:val="28"/>
          <w:szCs w:val="28"/>
        </w:rPr>
        <w:t>Worksheet</w:t>
      </w:r>
    </w:p>
    <w:p w14:paraId="636FE62E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/>
          <w:color w:val="44546A" w:themeColor="text2"/>
          <w:kern w:val="2"/>
          <w:lang w:val="en-US"/>
        </w:rPr>
      </w:pPr>
      <w:r w:rsidRPr="00C809DE">
        <w:rPr>
          <w:rFonts w:eastAsia="Times New Roman" w:cs="Calibri"/>
          <w:i/>
          <w:color w:val="44546A" w:themeColor="text2"/>
          <w:kern w:val="2"/>
          <w:lang w:val="en-US"/>
        </w:rPr>
        <w:t xml:space="preserve">Q1 Read through the BWY Code of Ethical Conduct for teachers. Read Patanjali’s Yoga Sutras, Chapter 2, Sutras 29-45, and list the Yamas and Niyamas in Sanskrit giving a simple English translation. </w:t>
      </w:r>
      <w:r w:rsidRPr="00C809DE">
        <w:rPr>
          <w:rFonts w:eastAsia="Times New Roman" w:cs="Calibri"/>
          <w:b/>
          <w:bCs/>
          <w:i/>
          <w:color w:val="44546A" w:themeColor="text2"/>
          <w:kern w:val="2"/>
          <w:lang w:val="en-US"/>
        </w:rPr>
        <w:t>Explain how each Yama and Niyama is applicable to your professional conduct as a yoga teacher.</w:t>
      </w:r>
      <w:r w:rsidRPr="00C809DE">
        <w:rPr>
          <w:rFonts w:eastAsia="Times New Roman" w:cs="Calibri"/>
          <w:i/>
          <w:color w:val="44546A" w:themeColor="text2"/>
          <w:kern w:val="2"/>
          <w:lang w:val="en-US"/>
        </w:rPr>
        <w:t xml:space="preserve">   </w:t>
      </w:r>
    </w:p>
    <w:p w14:paraId="2B9B52D5" w14:textId="77777777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b/>
          <w:bCs/>
          <w:iCs/>
          <w:color w:val="231F20"/>
          <w:kern w:val="2"/>
          <w:lang w:val="en-US"/>
        </w:rPr>
      </w:pPr>
    </w:p>
    <w:p w14:paraId="1AFD5209" w14:textId="56DE5CCF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b/>
          <w:bCs/>
          <w:iCs/>
          <w:color w:val="231F20"/>
          <w:kern w:val="2"/>
          <w:sz w:val="28"/>
          <w:szCs w:val="28"/>
          <w:lang w:val="en-US"/>
        </w:rPr>
      </w:pPr>
      <w:r w:rsidRPr="00C809DE">
        <w:rPr>
          <w:rFonts w:eastAsia="Times New Roman" w:cs="Calibri"/>
          <w:b/>
          <w:bCs/>
          <w:iCs/>
          <w:color w:val="231F20"/>
          <w:kern w:val="2"/>
          <w:sz w:val="28"/>
          <w:szCs w:val="28"/>
          <w:lang w:val="en-US"/>
        </w:rPr>
        <w:t xml:space="preserve">Yamas </w:t>
      </w:r>
    </w:p>
    <w:p w14:paraId="2CF5F319" w14:textId="42AA514A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b/>
          <w:bCs/>
          <w:iCs/>
          <w:color w:val="231F20"/>
          <w:kern w:val="2"/>
          <w:lang w:val="en-US"/>
        </w:rPr>
      </w:pPr>
      <w:r w:rsidRPr="00C809DE">
        <w:rPr>
          <w:rFonts w:eastAsia="Times New Roman" w:cs="Calibri"/>
          <w:b/>
          <w:bCs/>
          <w:iCs/>
          <w:color w:val="231F20"/>
          <w:kern w:val="2"/>
          <w:lang w:val="en-US"/>
        </w:rPr>
        <w:t>Outer Observances (attitude towards others)</w:t>
      </w:r>
    </w:p>
    <w:p w14:paraId="727BE2EA" w14:textId="77777777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lang w:val="en-US"/>
        </w:rPr>
      </w:pPr>
    </w:p>
    <w:p w14:paraId="15BD2D3C" w14:textId="4063191B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  <w:r w:rsidRPr="00C809DE"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  <w:t>Ahimsa: Non-harming (foundational principle – motivation behind word and deed)</w:t>
      </w:r>
    </w:p>
    <w:p w14:paraId="34C6FB19" w14:textId="509BC333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029C628F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157D24F3" w14:textId="23850632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414B7EF6" w14:textId="08527232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5DF39EEF" w14:textId="76A0C959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11594B81" w14:textId="4AFE2941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138181C6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7CFF430F" w14:textId="447DB20F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  <w:r w:rsidRPr="00C809DE"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  <w:t>Satya:  Truthfulness (without harming)</w:t>
      </w:r>
    </w:p>
    <w:p w14:paraId="2524C671" w14:textId="0EDD9121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65155BAE" w14:textId="66252E8F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3B7807D4" w14:textId="06D12EBB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21FA5FD4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67BC8CE9" w14:textId="29B24432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36EEEBB6" w14:textId="6A5C56A1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73744630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4776A73A" w14:textId="7F6B00FE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  <w:r w:rsidRPr="00C809DE"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  <w:t>Asteya: Non-stealing (taking without permission)</w:t>
      </w:r>
    </w:p>
    <w:p w14:paraId="471207DC" w14:textId="19C458DE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1C91FD3D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2DFA3B15" w14:textId="1D3AFBB8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7AD7820E" w14:textId="06D56BC7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44946FC9" w14:textId="77777777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378D85AC" w14:textId="4EB58843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253950AD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73B95464" w14:textId="27ACD6AB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  <w:r w:rsidRPr="00C809DE"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  <w:t>Brahmacharya: Moderation/Efficient use of energy</w:t>
      </w:r>
      <w:r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  <w:t>/Restraint</w:t>
      </w:r>
    </w:p>
    <w:p w14:paraId="2CB418DE" w14:textId="142ABFB6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47097266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27E77046" w14:textId="4B4DD8AC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047E1960" w14:textId="74A03803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4191B783" w14:textId="0D91383B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1726EA7B" w14:textId="22D8CAA0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71E2246E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74CAEF4A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  <w:r w:rsidRPr="00C809DE"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  <w:t>Aparigraha: Non-Greed (taking more than is appropriate even with permission)</w:t>
      </w:r>
    </w:p>
    <w:p w14:paraId="284ADD20" w14:textId="50767F42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lang w:val="en-US"/>
        </w:rPr>
      </w:pPr>
    </w:p>
    <w:p w14:paraId="6CFCD666" w14:textId="3AB9F593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lang w:val="en-US"/>
        </w:rPr>
      </w:pPr>
    </w:p>
    <w:p w14:paraId="0B0EDF3F" w14:textId="77777777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lang w:val="en-US"/>
        </w:rPr>
      </w:pPr>
    </w:p>
    <w:p w14:paraId="7B801B3F" w14:textId="0E39F023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b/>
          <w:bCs/>
          <w:iCs/>
          <w:color w:val="231F20"/>
          <w:kern w:val="2"/>
          <w:lang w:val="en-US"/>
        </w:rPr>
      </w:pPr>
    </w:p>
    <w:p w14:paraId="73E6CDB0" w14:textId="0B9C74AB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b/>
          <w:bCs/>
          <w:iCs/>
          <w:color w:val="231F20"/>
          <w:kern w:val="2"/>
          <w:sz w:val="28"/>
          <w:szCs w:val="28"/>
          <w:lang w:val="en-US"/>
        </w:rPr>
      </w:pPr>
      <w:r w:rsidRPr="00C809DE">
        <w:rPr>
          <w:rFonts w:eastAsia="Times New Roman" w:cs="Calibri"/>
          <w:b/>
          <w:bCs/>
          <w:iCs/>
          <w:color w:val="231F20"/>
          <w:kern w:val="2"/>
          <w:sz w:val="28"/>
          <w:szCs w:val="28"/>
          <w:lang w:val="en-US"/>
        </w:rPr>
        <w:lastRenderedPageBreak/>
        <w:t xml:space="preserve">Niyamas </w:t>
      </w:r>
    </w:p>
    <w:p w14:paraId="5B11D630" w14:textId="7CA22809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b/>
          <w:bCs/>
          <w:iCs/>
          <w:color w:val="231F20"/>
          <w:kern w:val="2"/>
          <w:lang w:val="en-US"/>
        </w:rPr>
      </w:pPr>
      <w:r w:rsidRPr="00C809DE">
        <w:rPr>
          <w:rFonts w:eastAsia="Times New Roman" w:cs="Calibri"/>
          <w:b/>
          <w:bCs/>
          <w:iCs/>
          <w:color w:val="231F20"/>
          <w:kern w:val="2"/>
          <w:lang w:val="en-US"/>
        </w:rPr>
        <w:t>Inner Observances (attitude towards oneself)</w:t>
      </w:r>
    </w:p>
    <w:p w14:paraId="5652C6CE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40A19EBC" w14:textId="54973B5E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  <w:r w:rsidRPr="00C809DE"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  <w:t xml:space="preserve">Saucha:  Purity </w:t>
      </w:r>
    </w:p>
    <w:p w14:paraId="48CD69ED" w14:textId="0B658EB4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52204E8E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13535A3B" w14:textId="24CDFDD1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0D8F1059" w14:textId="4472DC81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05822738" w14:textId="0EA5E6B9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0D90F0DF" w14:textId="5494F1FA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7113E201" w14:textId="77777777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0A0D691C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7FB94B4B" w14:textId="3C727C25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  <w:r w:rsidRPr="00C809DE"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  <w:t>Santosha: Contentment</w:t>
      </w:r>
    </w:p>
    <w:p w14:paraId="0F117A20" w14:textId="2C86D992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4C557581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028A6F7D" w14:textId="6D274776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16ED7BF2" w14:textId="2FB8B2FB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5BB70646" w14:textId="3F8604F4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1378DDCF" w14:textId="0C7559B1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0CFE9FC0" w14:textId="22D22691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731E5939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13E3CFFA" w14:textId="0589A9F0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  <w:r w:rsidRPr="00C809DE"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  <w:t>Tapas: Discipline</w:t>
      </w:r>
      <w:r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  <w:t>/Enthusiasm</w:t>
      </w:r>
    </w:p>
    <w:p w14:paraId="0D490806" w14:textId="45C58B9F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468A2A81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25AE5AD4" w14:textId="17788306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05473D9F" w14:textId="1913B855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249357DE" w14:textId="1EE20786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6047516E" w14:textId="1F434CAD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73E1425A" w14:textId="6E51C3A9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51CC1039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2CDF398E" w14:textId="3D8D653D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  <w:r w:rsidRPr="00C809DE"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  <w:t>Svadhyaya: Self-study</w:t>
      </w:r>
    </w:p>
    <w:p w14:paraId="7471AED9" w14:textId="484DA4EE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65BD2017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0AAFBB74" w14:textId="439EA1F6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37B82AB1" w14:textId="2F4A975A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5B9D235F" w14:textId="2B0BDA2E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00BDDBCD" w14:textId="1C972EDB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6EED3A5C" w14:textId="77777777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69477D5A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</w:p>
    <w:p w14:paraId="12B713D4" w14:textId="77777777" w:rsidR="00C809DE" w:rsidRP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</w:pPr>
      <w:r w:rsidRPr="00C809DE">
        <w:rPr>
          <w:rFonts w:eastAsia="Times New Roman" w:cs="Calibri"/>
          <w:iCs/>
          <w:color w:val="231F20"/>
          <w:kern w:val="2"/>
          <w:sz w:val="22"/>
          <w:szCs w:val="22"/>
          <w:lang w:val="en-US"/>
        </w:rPr>
        <w:t>Isvara   Pranidhanam: Self-surrender/Regard for something greater than oneself</w:t>
      </w:r>
    </w:p>
    <w:p w14:paraId="148078D2" w14:textId="77777777" w:rsidR="00C809DE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iCs/>
          <w:color w:val="231F20"/>
          <w:kern w:val="2"/>
          <w:lang w:val="en-US"/>
        </w:rPr>
      </w:pPr>
    </w:p>
    <w:p w14:paraId="1FA7CABC" w14:textId="77777777" w:rsidR="00C809DE" w:rsidRPr="00CB5941" w:rsidRDefault="00C809DE" w:rsidP="00C809D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80"/>
        <w:jc w:val="both"/>
        <w:rPr>
          <w:rFonts w:eastAsia="Times New Roman" w:cs="Calibri"/>
          <w:color w:val="FF0000"/>
          <w:lang w:val="en-US"/>
        </w:rPr>
      </w:pPr>
    </w:p>
    <w:p w14:paraId="03195BDA" w14:textId="77777777" w:rsidR="00C809DE" w:rsidRDefault="00C809DE" w:rsidP="00C809DE"/>
    <w:p w14:paraId="7EE56D98" w14:textId="77777777" w:rsidR="00C809DE" w:rsidRDefault="00C809DE" w:rsidP="00C809DE"/>
    <w:p w14:paraId="7157D324" w14:textId="77777777" w:rsidR="007F2F4A" w:rsidRDefault="007F2F4A"/>
    <w:sectPr w:rsidR="007F2F4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E3E31" w14:textId="77777777" w:rsidR="005E206C" w:rsidRDefault="005E206C" w:rsidP="00A86BA1">
      <w:r>
        <w:separator/>
      </w:r>
    </w:p>
  </w:endnote>
  <w:endnote w:type="continuationSeparator" w:id="0">
    <w:p w14:paraId="26BEA539" w14:textId="77777777" w:rsidR="005E206C" w:rsidRDefault="005E206C" w:rsidP="00A8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F4298" w14:textId="77777777" w:rsidR="005E206C" w:rsidRDefault="005E206C" w:rsidP="00A86BA1">
      <w:r>
        <w:separator/>
      </w:r>
    </w:p>
  </w:footnote>
  <w:footnote w:type="continuationSeparator" w:id="0">
    <w:p w14:paraId="5F329F66" w14:textId="77777777" w:rsidR="005E206C" w:rsidRDefault="005E206C" w:rsidP="00A86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3F812" w14:textId="2B68B200" w:rsidR="00A86BA1" w:rsidRPr="00A86BA1" w:rsidRDefault="00A86BA1" w:rsidP="00A86BA1">
    <w:pPr>
      <w:pStyle w:val="NormalWeb"/>
      <w:rPr>
        <w:rFonts w:asciiTheme="minorHAnsi" w:hAnsiTheme="minorHAnsi"/>
        <w:noProof/>
        <w:color w:val="4472C4" w:themeColor="accent1"/>
        <w:sz w:val="32"/>
        <w:szCs w:val="32"/>
      </w:rPr>
    </w:pPr>
    <w:r w:rsidRPr="00A86BA1">
      <w:rPr>
        <w:rFonts w:asciiTheme="minorHAnsi" w:hAnsiTheme="minorHAnsi"/>
        <w:noProof/>
        <w:color w:val="4472C4" w:themeColor="accent1"/>
        <w:sz w:val="32"/>
        <w:szCs w:val="32"/>
      </w:rPr>
      <w:drawing>
        <wp:anchor distT="0" distB="0" distL="114300" distR="114300" simplePos="0" relativeHeight="251659264" behindDoc="0" locked="0" layoutInCell="1" allowOverlap="1" wp14:anchorId="66D0B7EF" wp14:editId="702D2D27">
          <wp:simplePos x="0" y="0"/>
          <wp:positionH relativeFrom="margin">
            <wp:posOffset>5221953</wp:posOffset>
          </wp:positionH>
          <wp:positionV relativeFrom="margin">
            <wp:posOffset>-607633</wp:posOffset>
          </wp:positionV>
          <wp:extent cx="1025031" cy="720000"/>
          <wp:effectExtent l="0" t="0" r="3810" b="4445"/>
          <wp:wrapSquare wrapText="bothSides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031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6BA1">
      <w:rPr>
        <w:rFonts w:asciiTheme="minorHAnsi" w:hAnsiTheme="minorHAnsi"/>
        <w:noProof/>
        <w:color w:val="4472C4" w:themeColor="accent1"/>
        <w:sz w:val="32"/>
        <w:szCs w:val="32"/>
      </w:rPr>
      <w:t>S1 Role</w:t>
    </w:r>
    <w:r w:rsidR="00636297">
      <w:rPr>
        <w:rFonts w:asciiTheme="minorHAnsi" w:hAnsiTheme="minorHAnsi"/>
        <w:noProof/>
        <w:color w:val="4472C4" w:themeColor="accent1"/>
        <w:sz w:val="32"/>
        <w:szCs w:val="32"/>
      </w:rPr>
      <w:t>s</w:t>
    </w:r>
    <w:r w:rsidRPr="00A86BA1">
      <w:rPr>
        <w:rFonts w:asciiTheme="minorHAnsi" w:hAnsiTheme="minorHAnsi"/>
        <w:noProof/>
        <w:color w:val="4472C4" w:themeColor="accent1"/>
        <w:sz w:val="32"/>
        <w:szCs w:val="32"/>
      </w:rPr>
      <w:t xml:space="preserve"> &amp; Responsibilities of a Yoga Teacher</w:t>
    </w:r>
  </w:p>
  <w:p w14:paraId="7876BFFF" w14:textId="77777777" w:rsidR="00A86BA1" w:rsidRDefault="00A86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01179"/>
    <w:multiLevelType w:val="multilevel"/>
    <w:tmpl w:val="08F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2540DF"/>
    <w:multiLevelType w:val="multilevel"/>
    <w:tmpl w:val="FECE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4A"/>
    <w:rsid w:val="00584A16"/>
    <w:rsid w:val="005E206C"/>
    <w:rsid w:val="00636297"/>
    <w:rsid w:val="007F2F4A"/>
    <w:rsid w:val="00A86BA1"/>
    <w:rsid w:val="00C809DE"/>
    <w:rsid w:val="00E80EED"/>
    <w:rsid w:val="00E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8C35"/>
  <w15:chartTrackingRefBased/>
  <w15:docId w15:val="{22249AB2-1977-9F4C-B072-C8D20B45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F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F2F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BA1"/>
  </w:style>
  <w:style w:type="paragraph" w:styleId="Footer">
    <w:name w:val="footer"/>
    <w:basedOn w:val="Normal"/>
    <w:link w:val="FooterChar"/>
    <w:uiPriority w:val="99"/>
    <w:unhideWhenUsed/>
    <w:rsid w:val="00A86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5</cp:revision>
  <cp:lastPrinted>2021-05-23T09:16:00Z</cp:lastPrinted>
  <dcterms:created xsi:type="dcterms:W3CDTF">2021-05-20T12:54:00Z</dcterms:created>
  <dcterms:modified xsi:type="dcterms:W3CDTF">2021-05-26T10:03:00Z</dcterms:modified>
</cp:coreProperties>
</file>